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46" w:rsidRDefault="00634846">
      <w:pPr>
        <w:rPr>
          <w:lang w:val="en-MY"/>
        </w:rPr>
      </w:pPr>
      <w:r>
        <w:rPr>
          <w:lang w:val="en-MY"/>
        </w:rPr>
        <w:t>The Board of Directo</w:t>
      </w:r>
      <w:bookmarkStart w:id="0" w:name="_GoBack"/>
      <w:bookmarkEnd w:id="0"/>
      <w:r>
        <w:rPr>
          <w:lang w:val="en-MY"/>
        </w:rPr>
        <w:t>rs wishes to inform that the Company had on 1</w:t>
      </w:r>
      <w:r w:rsidR="002610D9">
        <w:rPr>
          <w:lang w:val="en-MY"/>
        </w:rPr>
        <w:t xml:space="preserve"> </w:t>
      </w:r>
      <w:r>
        <w:rPr>
          <w:lang w:val="en-MY"/>
        </w:rPr>
        <w:t>August 2018 submitted an amended announcement for the 4</w:t>
      </w:r>
      <w:r w:rsidRPr="00634846">
        <w:rPr>
          <w:vertAlign w:val="superscript"/>
          <w:lang w:val="en-MY"/>
        </w:rPr>
        <w:t>th</w:t>
      </w:r>
      <w:r>
        <w:rPr>
          <w:lang w:val="en-MY"/>
        </w:rPr>
        <w:t xml:space="preserve"> quarter financial results ended 31</w:t>
      </w:r>
      <w:r w:rsidRPr="00634846">
        <w:rPr>
          <w:vertAlign w:val="superscript"/>
          <w:lang w:val="en-MY"/>
        </w:rPr>
        <w:t>st</w:t>
      </w:r>
      <w:r>
        <w:rPr>
          <w:lang w:val="en-MY"/>
        </w:rPr>
        <w:t xml:space="preserve"> May 2018 </w:t>
      </w:r>
      <w:r w:rsidR="00B379F5">
        <w:rPr>
          <w:lang w:val="en-MY"/>
        </w:rPr>
        <w:t xml:space="preserve">(4QFYE2018) </w:t>
      </w:r>
      <w:r>
        <w:rPr>
          <w:lang w:val="en-MY"/>
        </w:rPr>
        <w:t>due to changes in valuation of inventories.</w:t>
      </w:r>
    </w:p>
    <w:p w:rsidR="008C302A" w:rsidRDefault="00B379F5">
      <w:pPr>
        <w:rPr>
          <w:lang w:val="en-MY"/>
        </w:rPr>
      </w:pPr>
      <w:r>
        <w:rPr>
          <w:lang w:val="en-MY"/>
        </w:rPr>
        <w:t>T</w:t>
      </w:r>
      <w:r w:rsidR="00634846">
        <w:rPr>
          <w:lang w:val="en-MY"/>
        </w:rPr>
        <w:t xml:space="preserve">he </w:t>
      </w:r>
      <w:r>
        <w:rPr>
          <w:lang w:val="en-MY"/>
        </w:rPr>
        <w:t>changes in the amended announc</w:t>
      </w:r>
      <w:r w:rsidR="00634846">
        <w:rPr>
          <w:lang w:val="en-MY"/>
        </w:rPr>
        <w:t xml:space="preserve">ement </w:t>
      </w:r>
      <w:r>
        <w:rPr>
          <w:lang w:val="en-MY"/>
        </w:rPr>
        <w:t xml:space="preserve">had caused the </w:t>
      </w:r>
      <w:proofErr w:type="gramStart"/>
      <w:r>
        <w:rPr>
          <w:lang w:val="en-MY"/>
        </w:rPr>
        <w:t>following  changes</w:t>
      </w:r>
      <w:proofErr w:type="gramEnd"/>
      <w:r>
        <w:rPr>
          <w:lang w:val="en-MY"/>
        </w:rPr>
        <w:t xml:space="preserve"> on the Statement of Profit and Loss and Other Comprehensive Income and the Statement of Financial Position</w:t>
      </w:r>
      <w:r w:rsidR="00634846">
        <w:rPr>
          <w:lang w:val="en-MY"/>
        </w:rPr>
        <w:t xml:space="preserve"> :</w:t>
      </w:r>
    </w:p>
    <w:p w:rsidR="00634846" w:rsidRPr="00777649" w:rsidRDefault="00777649" w:rsidP="00777649">
      <w:pPr>
        <w:spacing w:after="0"/>
        <w:rPr>
          <w:b/>
          <w:lang w:val="en-MY"/>
        </w:rPr>
      </w:pPr>
      <w:r w:rsidRPr="00777649">
        <w:rPr>
          <w:b/>
          <w:lang w:val="en-MY"/>
        </w:rPr>
        <w:t>Changes on the Statement of Profit and Loss and Other Comprehensive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388"/>
      </w:tblGrid>
      <w:tr w:rsidR="00B379F5" w:rsidTr="0055175B">
        <w:tc>
          <w:tcPr>
            <w:tcW w:w="3936" w:type="dxa"/>
          </w:tcPr>
          <w:p w:rsidR="00B379F5" w:rsidRDefault="00B379F5">
            <w:pPr>
              <w:rPr>
                <w:lang w:val="en-MY"/>
              </w:rPr>
            </w:pPr>
          </w:p>
        </w:tc>
        <w:tc>
          <w:tcPr>
            <w:tcW w:w="1417" w:type="dxa"/>
          </w:tcPr>
          <w:p w:rsidR="00B379F5" w:rsidRDefault="00B379F5" w:rsidP="00663DEF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4QFYE2018</w:t>
            </w:r>
          </w:p>
          <w:p w:rsidR="00A65190" w:rsidRPr="00663DEF" w:rsidRDefault="00A65190" w:rsidP="00663DEF"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Announced on 31.07.18</w:t>
            </w:r>
          </w:p>
        </w:tc>
        <w:tc>
          <w:tcPr>
            <w:tcW w:w="1418" w:type="dxa"/>
          </w:tcPr>
          <w:p w:rsidR="00B379F5" w:rsidRPr="00663DEF" w:rsidRDefault="00B379F5" w:rsidP="00663DEF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Amended</w:t>
            </w:r>
          </w:p>
          <w:p w:rsidR="00B379F5" w:rsidRPr="00663DEF" w:rsidRDefault="00B379F5" w:rsidP="00663DEF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4Q FYE2018</w:t>
            </w:r>
          </w:p>
        </w:tc>
        <w:tc>
          <w:tcPr>
            <w:tcW w:w="2805" w:type="dxa"/>
            <w:gridSpan w:val="2"/>
          </w:tcPr>
          <w:p w:rsidR="00B379F5" w:rsidRPr="00663DEF" w:rsidRDefault="00B379F5" w:rsidP="00B379F5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Variance</w:t>
            </w:r>
          </w:p>
        </w:tc>
      </w:tr>
      <w:tr w:rsidR="00B379F5" w:rsidTr="00A65190">
        <w:tc>
          <w:tcPr>
            <w:tcW w:w="3936" w:type="dxa"/>
          </w:tcPr>
          <w:p w:rsidR="00B379F5" w:rsidRDefault="00B379F5" w:rsidP="00572CAF">
            <w:pPr>
              <w:rPr>
                <w:lang w:val="en-MY"/>
              </w:rPr>
            </w:pPr>
          </w:p>
        </w:tc>
        <w:tc>
          <w:tcPr>
            <w:tcW w:w="1417" w:type="dxa"/>
          </w:tcPr>
          <w:p w:rsidR="00B379F5" w:rsidRPr="00663DEF" w:rsidRDefault="00426078" w:rsidP="00426078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RM’000</w:t>
            </w:r>
          </w:p>
        </w:tc>
        <w:tc>
          <w:tcPr>
            <w:tcW w:w="1418" w:type="dxa"/>
          </w:tcPr>
          <w:p w:rsidR="00B379F5" w:rsidRPr="00663DEF" w:rsidRDefault="00426078" w:rsidP="00426078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RM’000</w:t>
            </w:r>
          </w:p>
        </w:tc>
        <w:tc>
          <w:tcPr>
            <w:tcW w:w="1417" w:type="dxa"/>
          </w:tcPr>
          <w:p w:rsidR="00B379F5" w:rsidRPr="00663DEF" w:rsidRDefault="00426078" w:rsidP="00426078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RM’000</w:t>
            </w:r>
          </w:p>
        </w:tc>
        <w:tc>
          <w:tcPr>
            <w:tcW w:w="1388" w:type="dxa"/>
          </w:tcPr>
          <w:p w:rsidR="00B379F5" w:rsidRPr="00663DEF" w:rsidRDefault="00426078" w:rsidP="00426078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%</w:t>
            </w:r>
          </w:p>
        </w:tc>
      </w:tr>
      <w:tr w:rsidR="00B379F5" w:rsidTr="00A65190">
        <w:trPr>
          <w:trHeight w:val="405"/>
        </w:trPr>
        <w:tc>
          <w:tcPr>
            <w:tcW w:w="3936" w:type="dxa"/>
          </w:tcPr>
          <w:p w:rsidR="00B379F5" w:rsidRDefault="0055175B" w:rsidP="00572CAF">
            <w:pPr>
              <w:rPr>
                <w:lang w:val="en-MY"/>
              </w:rPr>
            </w:pPr>
            <w:r>
              <w:rPr>
                <w:lang w:val="en-MY"/>
              </w:rPr>
              <w:t>Other operating expenses</w:t>
            </w:r>
          </w:p>
        </w:tc>
        <w:tc>
          <w:tcPr>
            <w:tcW w:w="1417" w:type="dxa"/>
          </w:tcPr>
          <w:p w:rsidR="00B379F5" w:rsidRDefault="00426078" w:rsidP="00426078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35,649</w:t>
            </w:r>
          </w:p>
        </w:tc>
        <w:tc>
          <w:tcPr>
            <w:tcW w:w="1418" w:type="dxa"/>
          </w:tcPr>
          <w:p w:rsidR="00B379F5" w:rsidRDefault="00426078" w:rsidP="0055175B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3,5</w:t>
            </w:r>
            <w:r w:rsidR="0055175B">
              <w:rPr>
                <w:lang w:val="en-MY"/>
              </w:rPr>
              <w:t>87</w:t>
            </w:r>
          </w:p>
          <w:p w:rsidR="0055175B" w:rsidRDefault="0055175B" w:rsidP="0055175B">
            <w:pPr>
              <w:jc w:val="right"/>
              <w:rPr>
                <w:lang w:val="en-MY"/>
              </w:rPr>
            </w:pPr>
          </w:p>
        </w:tc>
        <w:tc>
          <w:tcPr>
            <w:tcW w:w="1417" w:type="dxa"/>
          </w:tcPr>
          <w:p w:rsidR="00B379F5" w:rsidRDefault="00A82FFE" w:rsidP="0055175B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32,</w:t>
            </w:r>
            <w:r w:rsidR="0055175B">
              <w:rPr>
                <w:lang w:val="en-MY"/>
              </w:rPr>
              <w:t>062</w:t>
            </w:r>
          </w:p>
        </w:tc>
        <w:tc>
          <w:tcPr>
            <w:tcW w:w="1388" w:type="dxa"/>
          </w:tcPr>
          <w:p w:rsidR="00B379F5" w:rsidRDefault="00A82FFE" w:rsidP="00A82FFE">
            <w:pPr>
              <w:jc w:val="center"/>
              <w:rPr>
                <w:lang w:val="en-MY"/>
              </w:rPr>
            </w:pPr>
            <w:r>
              <w:rPr>
                <w:lang w:val="en-MY"/>
              </w:rPr>
              <w:t>90%</w:t>
            </w:r>
          </w:p>
        </w:tc>
      </w:tr>
      <w:tr w:rsidR="00B379F5" w:rsidTr="00A65190">
        <w:tc>
          <w:tcPr>
            <w:tcW w:w="3936" w:type="dxa"/>
          </w:tcPr>
          <w:p w:rsidR="00B379F5" w:rsidRDefault="0055175B" w:rsidP="00572CAF">
            <w:pPr>
              <w:rPr>
                <w:lang w:val="en-MY"/>
              </w:rPr>
            </w:pPr>
            <w:r>
              <w:rPr>
                <w:lang w:val="en-MY"/>
              </w:rPr>
              <w:t>Profit/(Loss) for the period attributable to owners of the Parent</w:t>
            </w:r>
          </w:p>
        </w:tc>
        <w:tc>
          <w:tcPr>
            <w:tcW w:w="1417" w:type="dxa"/>
          </w:tcPr>
          <w:p w:rsidR="0055175B" w:rsidRDefault="0055175B" w:rsidP="0055175B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(31,238)</w:t>
            </w:r>
          </w:p>
        </w:tc>
        <w:tc>
          <w:tcPr>
            <w:tcW w:w="1418" w:type="dxa"/>
          </w:tcPr>
          <w:p w:rsidR="00B379F5" w:rsidRDefault="0055175B" w:rsidP="0055175B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824</w:t>
            </w:r>
          </w:p>
          <w:p w:rsidR="0055175B" w:rsidRDefault="0055175B" w:rsidP="00572CAF">
            <w:pPr>
              <w:rPr>
                <w:lang w:val="en-MY"/>
              </w:rPr>
            </w:pPr>
          </w:p>
        </w:tc>
        <w:tc>
          <w:tcPr>
            <w:tcW w:w="1417" w:type="dxa"/>
          </w:tcPr>
          <w:p w:rsidR="00B379F5" w:rsidRDefault="0055175B" w:rsidP="0055175B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32,062</w:t>
            </w:r>
          </w:p>
        </w:tc>
        <w:tc>
          <w:tcPr>
            <w:tcW w:w="1388" w:type="dxa"/>
          </w:tcPr>
          <w:p w:rsidR="00B379F5" w:rsidRDefault="0055175B" w:rsidP="00777649">
            <w:pPr>
              <w:jc w:val="center"/>
              <w:rPr>
                <w:lang w:val="en-MY"/>
              </w:rPr>
            </w:pPr>
            <w:r>
              <w:rPr>
                <w:lang w:val="en-MY"/>
              </w:rPr>
              <w:t>102%</w:t>
            </w:r>
          </w:p>
        </w:tc>
      </w:tr>
      <w:tr w:rsidR="00B379F5" w:rsidTr="00A65190">
        <w:tc>
          <w:tcPr>
            <w:tcW w:w="3936" w:type="dxa"/>
          </w:tcPr>
          <w:p w:rsidR="00B379F5" w:rsidRDefault="0055175B" w:rsidP="00572CAF">
            <w:pPr>
              <w:rPr>
                <w:lang w:val="en-MY"/>
              </w:rPr>
            </w:pPr>
            <w:r>
              <w:rPr>
                <w:lang w:val="en-MY"/>
              </w:rPr>
              <w:t>Total comprehensive income/(loss) attributable to owners of the Parent</w:t>
            </w:r>
          </w:p>
        </w:tc>
        <w:tc>
          <w:tcPr>
            <w:tcW w:w="1417" w:type="dxa"/>
          </w:tcPr>
          <w:p w:rsidR="00B379F5" w:rsidRDefault="00777649" w:rsidP="00777649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(31,359)</w:t>
            </w:r>
          </w:p>
        </w:tc>
        <w:tc>
          <w:tcPr>
            <w:tcW w:w="1418" w:type="dxa"/>
          </w:tcPr>
          <w:p w:rsidR="00B379F5" w:rsidRDefault="00777649" w:rsidP="00777649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(497)</w:t>
            </w:r>
          </w:p>
        </w:tc>
        <w:tc>
          <w:tcPr>
            <w:tcW w:w="1417" w:type="dxa"/>
          </w:tcPr>
          <w:p w:rsidR="00B379F5" w:rsidRDefault="00777649" w:rsidP="00777649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30,862</w:t>
            </w:r>
          </w:p>
        </w:tc>
        <w:tc>
          <w:tcPr>
            <w:tcW w:w="1388" w:type="dxa"/>
          </w:tcPr>
          <w:p w:rsidR="00B379F5" w:rsidRDefault="00777649" w:rsidP="00777649">
            <w:pPr>
              <w:jc w:val="center"/>
              <w:rPr>
                <w:lang w:val="en-MY"/>
              </w:rPr>
            </w:pPr>
            <w:r>
              <w:rPr>
                <w:lang w:val="en-MY"/>
              </w:rPr>
              <w:t>98%</w:t>
            </w:r>
          </w:p>
        </w:tc>
      </w:tr>
    </w:tbl>
    <w:p w:rsidR="00B379F5" w:rsidRPr="00634846" w:rsidRDefault="00B379F5" w:rsidP="00B379F5">
      <w:pPr>
        <w:rPr>
          <w:lang w:val="en-MY"/>
        </w:rPr>
      </w:pPr>
    </w:p>
    <w:p w:rsidR="00777649" w:rsidRPr="00777649" w:rsidRDefault="00777649" w:rsidP="00777649">
      <w:pPr>
        <w:spacing w:after="0"/>
        <w:rPr>
          <w:b/>
          <w:lang w:val="en-MY"/>
        </w:rPr>
      </w:pPr>
      <w:r w:rsidRPr="00777649">
        <w:rPr>
          <w:b/>
          <w:lang w:val="en-MY"/>
        </w:rPr>
        <w:t>Changes on the Statement of Financial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388"/>
      </w:tblGrid>
      <w:tr w:rsidR="00777649" w:rsidTr="00572CAF">
        <w:tc>
          <w:tcPr>
            <w:tcW w:w="3936" w:type="dxa"/>
          </w:tcPr>
          <w:p w:rsidR="00777649" w:rsidRDefault="00777649" w:rsidP="00572CAF">
            <w:pPr>
              <w:rPr>
                <w:lang w:val="en-MY"/>
              </w:rPr>
            </w:pPr>
          </w:p>
        </w:tc>
        <w:tc>
          <w:tcPr>
            <w:tcW w:w="1417" w:type="dxa"/>
          </w:tcPr>
          <w:p w:rsidR="00777649" w:rsidRPr="00663DEF" w:rsidRDefault="00777649" w:rsidP="00572CAF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4QFYE2018</w:t>
            </w:r>
            <w:r w:rsidR="00A65190">
              <w:rPr>
                <w:b/>
                <w:lang w:val="en-MY"/>
              </w:rPr>
              <w:t xml:space="preserve"> Announce on 31.07.18</w:t>
            </w:r>
          </w:p>
        </w:tc>
        <w:tc>
          <w:tcPr>
            <w:tcW w:w="1418" w:type="dxa"/>
          </w:tcPr>
          <w:p w:rsidR="00777649" w:rsidRPr="00663DEF" w:rsidRDefault="00777649" w:rsidP="00572CAF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Amended</w:t>
            </w:r>
          </w:p>
          <w:p w:rsidR="00777649" w:rsidRPr="00663DEF" w:rsidRDefault="00777649" w:rsidP="00572CAF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4Q FYE2018</w:t>
            </w:r>
          </w:p>
        </w:tc>
        <w:tc>
          <w:tcPr>
            <w:tcW w:w="2805" w:type="dxa"/>
            <w:gridSpan w:val="2"/>
          </w:tcPr>
          <w:p w:rsidR="00777649" w:rsidRPr="00663DEF" w:rsidRDefault="00777649" w:rsidP="00572CAF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Variance</w:t>
            </w:r>
          </w:p>
        </w:tc>
      </w:tr>
      <w:tr w:rsidR="00777649" w:rsidTr="00A65190">
        <w:tc>
          <w:tcPr>
            <w:tcW w:w="3936" w:type="dxa"/>
          </w:tcPr>
          <w:p w:rsidR="00777649" w:rsidRDefault="00777649" w:rsidP="00572CAF">
            <w:pPr>
              <w:rPr>
                <w:lang w:val="en-MY"/>
              </w:rPr>
            </w:pPr>
          </w:p>
        </w:tc>
        <w:tc>
          <w:tcPr>
            <w:tcW w:w="1417" w:type="dxa"/>
          </w:tcPr>
          <w:p w:rsidR="00777649" w:rsidRPr="00663DEF" w:rsidRDefault="00777649" w:rsidP="00572CAF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RM’000</w:t>
            </w:r>
          </w:p>
        </w:tc>
        <w:tc>
          <w:tcPr>
            <w:tcW w:w="1418" w:type="dxa"/>
          </w:tcPr>
          <w:p w:rsidR="00777649" w:rsidRPr="00663DEF" w:rsidRDefault="00777649" w:rsidP="00572CAF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RM’000</w:t>
            </w:r>
          </w:p>
        </w:tc>
        <w:tc>
          <w:tcPr>
            <w:tcW w:w="1417" w:type="dxa"/>
          </w:tcPr>
          <w:p w:rsidR="00777649" w:rsidRPr="00663DEF" w:rsidRDefault="00777649" w:rsidP="00572CAF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RM’000</w:t>
            </w:r>
          </w:p>
        </w:tc>
        <w:tc>
          <w:tcPr>
            <w:tcW w:w="1388" w:type="dxa"/>
          </w:tcPr>
          <w:p w:rsidR="00777649" w:rsidRPr="00663DEF" w:rsidRDefault="00777649" w:rsidP="00572CAF">
            <w:pPr>
              <w:jc w:val="center"/>
              <w:rPr>
                <w:b/>
                <w:lang w:val="en-MY"/>
              </w:rPr>
            </w:pPr>
            <w:r w:rsidRPr="00663DEF">
              <w:rPr>
                <w:b/>
                <w:lang w:val="en-MY"/>
              </w:rPr>
              <w:t>%</w:t>
            </w:r>
          </w:p>
        </w:tc>
      </w:tr>
      <w:tr w:rsidR="00777649" w:rsidTr="00A65190">
        <w:trPr>
          <w:trHeight w:val="405"/>
        </w:trPr>
        <w:tc>
          <w:tcPr>
            <w:tcW w:w="3936" w:type="dxa"/>
          </w:tcPr>
          <w:p w:rsidR="00777649" w:rsidRDefault="00777649" w:rsidP="00572CAF">
            <w:pPr>
              <w:rPr>
                <w:lang w:val="en-MY"/>
              </w:rPr>
            </w:pPr>
            <w:r>
              <w:rPr>
                <w:lang w:val="en-MY"/>
              </w:rPr>
              <w:t>Inventories</w:t>
            </w:r>
          </w:p>
        </w:tc>
        <w:tc>
          <w:tcPr>
            <w:tcW w:w="1417" w:type="dxa"/>
          </w:tcPr>
          <w:p w:rsidR="00777649" w:rsidRDefault="00777649" w:rsidP="00777649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389,476</w:t>
            </w:r>
          </w:p>
        </w:tc>
        <w:tc>
          <w:tcPr>
            <w:tcW w:w="1418" w:type="dxa"/>
          </w:tcPr>
          <w:p w:rsidR="00777649" w:rsidRDefault="00777649" w:rsidP="00572CAF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420,338</w:t>
            </w:r>
          </w:p>
          <w:p w:rsidR="00777649" w:rsidRDefault="00777649" w:rsidP="00572CAF">
            <w:pPr>
              <w:jc w:val="right"/>
              <w:rPr>
                <w:lang w:val="en-MY"/>
              </w:rPr>
            </w:pPr>
          </w:p>
        </w:tc>
        <w:tc>
          <w:tcPr>
            <w:tcW w:w="1417" w:type="dxa"/>
          </w:tcPr>
          <w:p w:rsidR="00777649" w:rsidRDefault="00777649" w:rsidP="00777649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30,862</w:t>
            </w:r>
          </w:p>
        </w:tc>
        <w:tc>
          <w:tcPr>
            <w:tcW w:w="1388" w:type="dxa"/>
          </w:tcPr>
          <w:p w:rsidR="00777649" w:rsidRDefault="00777649" w:rsidP="00572CAF">
            <w:pPr>
              <w:jc w:val="center"/>
              <w:rPr>
                <w:lang w:val="en-MY"/>
              </w:rPr>
            </w:pPr>
            <w:r>
              <w:rPr>
                <w:lang w:val="en-MY"/>
              </w:rPr>
              <w:t>8%</w:t>
            </w:r>
          </w:p>
        </w:tc>
      </w:tr>
      <w:tr w:rsidR="00777649" w:rsidTr="00A65190">
        <w:tc>
          <w:tcPr>
            <w:tcW w:w="3936" w:type="dxa"/>
          </w:tcPr>
          <w:p w:rsidR="00777649" w:rsidRDefault="00777649" w:rsidP="00572CAF">
            <w:pPr>
              <w:rPr>
                <w:lang w:val="en-MY"/>
              </w:rPr>
            </w:pPr>
            <w:r>
              <w:rPr>
                <w:lang w:val="en-MY"/>
              </w:rPr>
              <w:t>Reserves</w:t>
            </w:r>
          </w:p>
          <w:p w:rsidR="00777649" w:rsidRDefault="00777649" w:rsidP="00572CAF">
            <w:pPr>
              <w:rPr>
                <w:lang w:val="en-MY"/>
              </w:rPr>
            </w:pPr>
          </w:p>
        </w:tc>
        <w:tc>
          <w:tcPr>
            <w:tcW w:w="1417" w:type="dxa"/>
          </w:tcPr>
          <w:p w:rsidR="00777649" w:rsidRDefault="00777649" w:rsidP="00572CAF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13,494</w:t>
            </w:r>
          </w:p>
        </w:tc>
        <w:tc>
          <w:tcPr>
            <w:tcW w:w="1418" w:type="dxa"/>
          </w:tcPr>
          <w:p w:rsidR="00777649" w:rsidRDefault="00777649" w:rsidP="00572CAF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44,356</w:t>
            </w:r>
          </w:p>
          <w:p w:rsidR="00777649" w:rsidRDefault="00777649" w:rsidP="00572CAF">
            <w:pPr>
              <w:rPr>
                <w:lang w:val="en-MY"/>
              </w:rPr>
            </w:pPr>
          </w:p>
        </w:tc>
        <w:tc>
          <w:tcPr>
            <w:tcW w:w="1417" w:type="dxa"/>
          </w:tcPr>
          <w:p w:rsidR="00777649" w:rsidRDefault="00777649" w:rsidP="00777649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30,862</w:t>
            </w:r>
          </w:p>
        </w:tc>
        <w:tc>
          <w:tcPr>
            <w:tcW w:w="1388" w:type="dxa"/>
          </w:tcPr>
          <w:p w:rsidR="00777649" w:rsidRDefault="00777649" w:rsidP="00572CAF">
            <w:pPr>
              <w:jc w:val="center"/>
              <w:rPr>
                <w:lang w:val="en-MY"/>
              </w:rPr>
            </w:pPr>
            <w:r>
              <w:rPr>
                <w:lang w:val="en-MY"/>
              </w:rPr>
              <w:t>228%</w:t>
            </w:r>
          </w:p>
        </w:tc>
      </w:tr>
      <w:tr w:rsidR="00777649" w:rsidTr="00A65190">
        <w:tc>
          <w:tcPr>
            <w:tcW w:w="3936" w:type="dxa"/>
          </w:tcPr>
          <w:p w:rsidR="00777649" w:rsidRDefault="00777649" w:rsidP="00572CAF">
            <w:pPr>
              <w:rPr>
                <w:lang w:val="en-MY"/>
              </w:rPr>
            </w:pPr>
            <w:r>
              <w:rPr>
                <w:lang w:val="en-MY"/>
              </w:rPr>
              <w:t>Total Equity</w:t>
            </w:r>
          </w:p>
        </w:tc>
        <w:tc>
          <w:tcPr>
            <w:tcW w:w="1417" w:type="dxa"/>
          </w:tcPr>
          <w:p w:rsidR="00777649" w:rsidRDefault="00777649" w:rsidP="00572CAF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129,357</w:t>
            </w:r>
          </w:p>
        </w:tc>
        <w:tc>
          <w:tcPr>
            <w:tcW w:w="1418" w:type="dxa"/>
          </w:tcPr>
          <w:p w:rsidR="00777649" w:rsidRDefault="00777649" w:rsidP="00572CAF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160,219</w:t>
            </w:r>
          </w:p>
        </w:tc>
        <w:tc>
          <w:tcPr>
            <w:tcW w:w="1417" w:type="dxa"/>
          </w:tcPr>
          <w:p w:rsidR="00777649" w:rsidRDefault="00777649" w:rsidP="00572CAF">
            <w:pPr>
              <w:jc w:val="right"/>
              <w:rPr>
                <w:lang w:val="en-MY"/>
              </w:rPr>
            </w:pPr>
            <w:r>
              <w:rPr>
                <w:lang w:val="en-MY"/>
              </w:rPr>
              <w:t>30,862</w:t>
            </w:r>
          </w:p>
        </w:tc>
        <w:tc>
          <w:tcPr>
            <w:tcW w:w="1388" w:type="dxa"/>
          </w:tcPr>
          <w:p w:rsidR="00777649" w:rsidRDefault="00777649" w:rsidP="00572CAF">
            <w:pPr>
              <w:jc w:val="center"/>
              <w:rPr>
                <w:lang w:val="en-MY"/>
              </w:rPr>
            </w:pPr>
            <w:r>
              <w:rPr>
                <w:lang w:val="en-MY"/>
              </w:rPr>
              <w:t>24%</w:t>
            </w:r>
          </w:p>
        </w:tc>
      </w:tr>
    </w:tbl>
    <w:p w:rsidR="00777649" w:rsidRDefault="00777649" w:rsidP="00777649">
      <w:pPr>
        <w:tabs>
          <w:tab w:val="left" w:pos="1416"/>
        </w:tabs>
        <w:rPr>
          <w:lang w:val="en-MY"/>
        </w:rPr>
      </w:pPr>
    </w:p>
    <w:p w:rsidR="00BC44F5" w:rsidRDefault="00777649" w:rsidP="00301141">
      <w:pPr>
        <w:tabs>
          <w:tab w:val="left" w:pos="1416"/>
        </w:tabs>
        <w:jc w:val="both"/>
        <w:rPr>
          <w:lang w:val="en-MY"/>
        </w:rPr>
      </w:pPr>
      <w:r>
        <w:rPr>
          <w:lang w:val="en-MY"/>
        </w:rPr>
        <w:t>The cause of the variance is solely due to delay in</w:t>
      </w:r>
      <w:r w:rsidR="00BC44F5">
        <w:rPr>
          <w:lang w:val="en-MY"/>
        </w:rPr>
        <w:t xml:space="preserve"> obtaining the valuation report on vessels from the </w:t>
      </w:r>
      <w:proofErr w:type="spellStart"/>
      <w:r w:rsidR="00BC44F5">
        <w:rPr>
          <w:lang w:val="en-MY"/>
        </w:rPr>
        <w:t>valuer</w:t>
      </w:r>
      <w:proofErr w:type="spellEnd"/>
      <w:r w:rsidR="00BC44F5">
        <w:rPr>
          <w:lang w:val="en-MY"/>
        </w:rPr>
        <w:t xml:space="preserve">, Kantor </w:t>
      </w:r>
      <w:proofErr w:type="spellStart"/>
      <w:r w:rsidR="00BC44F5">
        <w:rPr>
          <w:lang w:val="en-MY"/>
        </w:rPr>
        <w:t>Jasa</w:t>
      </w:r>
      <w:proofErr w:type="spellEnd"/>
      <w:r w:rsidR="00BC44F5">
        <w:rPr>
          <w:lang w:val="en-MY"/>
        </w:rPr>
        <w:t xml:space="preserve"> </w:t>
      </w:r>
      <w:proofErr w:type="spellStart"/>
      <w:r w:rsidR="00BC44F5">
        <w:rPr>
          <w:lang w:val="en-MY"/>
        </w:rPr>
        <w:t>Penilai</w:t>
      </w:r>
      <w:proofErr w:type="spellEnd"/>
      <w:r w:rsidR="00BC44F5">
        <w:rPr>
          <w:lang w:val="en-MY"/>
        </w:rPr>
        <w:t xml:space="preserve"> </w:t>
      </w:r>
      <w:proofErr w:type="spellStart"/>
      <w:r w:rsidR="00BC44F5">
        <w:rPr>
          <w:lang w:val="en-MY"/>
        </w:rPr>
        <w:t>Publik</w:t>
      </w:r>
      <w:proofErr w:type="spellEnd"/>
      <w:r w:rsidR="00BC44F5">
        <w:rPr>
          <w:lang w:val="en-MY"/>
        </w:rPr>
        <w:t xml:space="preserve"> from </w:t>
      </w:r>
      <w:r w:rsidR="00301141">
        <w:rPr>
          <w:lang w:val="en-MY"/>
        </w:rPr>
        <w:t xml:space="preserve">Jakarta, </w:t>
      </w:r>
      <w:r w:rsidR="00BC44F5">
        <w:rPr>
          <w:lang w:val="en-MY"/>
        </w:rPr>
        <w:t>Indonesia. Pending receipt of the valuation report, as a pru</w:t>
      </w:r>
      <w:r w:rsidR="009A1640">
        <w:rPr>
          <w:lang w:val="en-MY"/>
        </w:rPr>
        <w:t>dent practice, the Directors have</w:t>
      </w:r>
      <w:r w:rsidR="00BC44F5">
        <w:rPr>
          <w:lang w:val="en-MY"/>
        </w:rPr>
        <w:t xml:space="preserve"> given the</w:t>
      </w:r>
      <w:r w:rsidR="009A1640">
        <w:rPr>
          <w:lang w:val="en-MY"/>
        </w:rPr>
        <w:t>ir</w:t>
      </w:r>
      <w:r w:rsidR="00BC44F5">
        <w:rPr>
          <w:lang w:val="en-MY"/>
        </w:rPr>
        <w:t xml:space="preserve"> best estimates of the net realisable value of the inventories and provide a written down in inventories value amounted to USD7</w:t>
      </w:r>
      <w:proofErr w:type="gramStart"/>
      <w:r w:rsidR="00BC44F5">
        <w:rPr>
          <w:lang w:val="en-MY"/>
        </w:rPr>
        <w:t>,787,300</w:t>
      </w:r>
      <w:proofErr w:type="gramEnd"/>
      <w:r w:rsidR="00BC44F5">
        <w:rPr>
          <w:lang w:val="en-MY"/>
        </w:rPr>
        <w:t xml:space="preserve"> (RM32,145,974) and announced the 4</w:t>
      </w:r>
      <w:r w:rsidR="00BC44F5" w:rsidRPr="00BC44F5">
        <w:rPr>
          <w:vertAlign w:val="superscript"/>
          <w:lang w:val="en-MY"/>
        </w:rPr>
        <w:t>th</w:t>
      </w:r>
      <w:r w:rsidR="00BC44F5">
        <w:rPr>
          <w:lang w:val="en-MY"/>
        </w:rPr>
        <w:t xml:space="preserve"> Quarter Financial Results on 31 July 2018.</w:t>
      </w:r>
      <w:r w:rsidR="00BF34E4">
        <w:rPr>
          <w:lang w:val="en-MY"/>
        </w:rPr>
        <w:t xml:space="preserve"> </w:t>
      </w:r>
    </w:p>
    <w:p w:rsidR="00634846" w:rsidRDefault="00BC44F5" w:rsidP="00301141">
      <w:pPr>
        <w:tabs>
          <w:tab w:val="left" w:pos="1416"/>
        </w:tabs>
        <w:jc w:val="both"/>
        <w:rPr>
          <w:lang w:val="en-MY"/>
        </w:rPr>
      </w:pPr>
      <w:r>
        <w:rPr>
          <w:lang w:val="en-MY"/>
        </w:rPr>
        <w:t xml:space="preserve">Subsequent to our announcement, we have received the valuation report from the </w:t>
      </w:r>
      <w:proofErr w:type="spellStart"/>
      <w:r>
        <w:rPr>
          <w:lang w:val="en-MY"/>
        </w:rPr>
        <w:t>valuer</w:t>
      </w:r>
      <w:proofErr w:type="spellEnd"/>
      <w:r w:rsidR="00BF34E4">
        <w:rPr>
          <w:lang w:val="en-MY"/>
        </w:rPr>
        <w:t xml:space="preserve"> and the valuation is substantially differ from </w:t>
      </w:r>
      <w:r w:rsidR="00987266">
        <w:rPr>
          <w:lang w:val="en-MY"/>
        </w:rPr>
        <w:t>our</w:t>
      </w:r>
      <w:r w:rsidR="00BF34E4">
        <w:rPr>
          <w:lang w:val="en-MY"/>
        </w:rPr>
        <w:t xml:space="preserve"> best estimates </w:t>
      </w:r>
      <w:r w:rsidR="00987266">
        <w:rPr>
          <w:lang w:val="en-MY"/>
        </w:rPr>
        <w:t>and has a s</w:t>
      </w:r>
      <w:r w:rsidR="00301141">
        <w:rPr>
          <w:lang w:val="en-MY"/>
        </w:rPr>
        <w:t>ignificant</w:t>
      </w:r>
      <w:r w:rsidR="00987266">
        <w:rPr>
          <w:lang w:val="en-MY"/>
        </w:rPr>
        <w:t xml:space="preserve"> impact on the financial results </w:t>
      </w:r>
      <w:r w:rsidR="00BF34E4">
        <w:rPr>
          <w:lang w:val="en-MY"/>
        </w:rPr>
        <w:t xml:space="preserve">in our earlier announcement. The reason for the delay in receiving the valuation report is due to the </w:t>
      </w:r>
      <w:proofErr w:type="spellStart"/>
      <w:r w:rsidR="00BF34E4">
        <w:rPr>
          <w:lang w:val="en-MY"/>
        </w:rPr>
        <w:t>valuer</w:t>
      </w:r>
      <w:proofErr w:type="spellEnd"/>
      <w:r w:rsidR="00BF34E4">
        <w:rPr>
          <w:lang w:val="en-MY"/>
        </w:rPr>
        <w:t xml:space="preserve"> was away from </w:t>
      </w:r>
      <w:r w:rsidR="00301141">
        <w:rPr>
          <w:lang w:val="en-MY"/>
        </w:rPr>
        <w:t>Jakarta</w:t>
      </w:r>
      <w:r w:rsidR="00BF34E4">
        <w:rPr>
          <w:lang w:val="en-MY"/>
        </w:rPr>
        <w:t xml:space="preserve">. </w:t>
      </w:r>
    </w:p>
    <w:p w:rsidR="00BF34E4" w:rsidRPr="00634846" w:rsidRDefault="00BF34E4" w:rsidP="00777649">
      <w:pPr>
        <w:tabs>
          <w:tab w:val="left" w:pos="1416"/>
        </w:tabs>
        <w:rPr>
          <w:lang w:val="en-MY"/>
        </w:rPr>
      </w:pPr>
    </w:p>
    <w:sectPr w:rsidR="00BF34E4" w:rsidRPr="00634846" w:rsidSect="00366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46"/>
    <w:rsid w:val="002107A9"/>
    <w:rsid w:val="002610D9"/>
    <w:rsid w:val="00301141"/>
    <w:rsid w:val="003661E5"/>
    <w:rsid w:val="00426078"/>
    <w:rsid w:val="0053208D"/>
    <w:rsid w:val="0055175B"/>
    <w:rsid w:val="005F63B3"/>
    <w:rsid w:val="00634846"/>
    <w:rsid w:val="006443FB"/>
    <w:rsid w:val="00663DEF"/>
    <w:rsid w:val="00777649"/>
    <w:rsid w:val="00987266"/>
    <w:rsid w:val="009A1640"/>
    <w:rsid w:val="00A65190"/>
    <w:rsid w:val="00A82FFE"/>
    <w:rsid w:val="00B379F5"/>
    <w:rsid w:val="00BC44F5"/>
    <w:rsid w:val="00BF34E4"/>
    <w:rsid w:val="00C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Hii</dc:creator>
  <cp:lastModifiedBy>admin</cp:lastModifiedBy>
  <cp:revision>2</cp:revision>
  <cp:lastPrinted>2018-08-01T07:01:00Z</cp:lastPrinted>
  <dcterms:created xsi:type="dcterms:W3CDTF">2018-08-01T08:43:00Z</dcterms:created>
  <dcterms:modified xsi:type="dcterms:W3CDTF">2018-08-01T08:43:00Z</dcterms:modified>
</cp:coreProperties>
</file>